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8C950">
      <w:pPr>
        <w:spacing w:line="360" w:lineRule="auto"/>
        <w:jc w:val="center"/>
        <w:rPr>
          <w:rFonts w:hint="eastAsia" w:ascii="宋体" w:hAnsi="宋体"/>
          <w:b/>
          <w:sz w:val="32"/>
          <w:szCs w:val="32"/>
        </w:rPr>
      </w:pPr>
    </w:p>
    <w:p w14:paraId="638AC59E">
      <w:pPr>
        <w:spacing w:line="360" w:lineRule="auto"/>
        <w:jc w:val="center"/>
        <w:rPr>
          <w:rFonts w:hint="eastAsia" w:ascii="宋体" w:hAnsi="宋体"/>
          <w:b/>
          <w:sz w:val="48"/>
          <w:szCs w:val="48"/>
        </w:rPr>
      </w:pPr>
      <w:r>
        <w:rPr>
          <w:rFonts w:hint="eastAsia" w:ascii="宋体" w:hAnsi="宋体"/>
          <w:b/>
          <w:sz w:val="48"/>
          <w:szCs w:val="48"/>
          <w:lang w:val="en-US" w:eastAsia="zh-CN"/>
        </w:rPr>
        <w:t>基于椭球拟合的矢量磁强计</w:t>
      </w:r>
      <w:r>
        <w:rPr>
          <w:rFonts w:hint="eastAsia" w:ascii="宋体" w:hAnsi="宋体"/>
          <w:b/>
          <w:sz w:val="48"/>
          <w:szCs w:val="48"/>
        </w:rPr>
        <w:t>校准规范</w:t>
      </w:r>
    </w:p>
    <w:p w14:paraId="193C1786">
      <w:pPr>
        <w:spacing w:line="360" w:lineRule="auto"/>
        <w:jc w:val="center"/>
        <w:rPr>
          <w:rFonts w:hint="eastAsia" w:ascii="宋体" w:hAnsi="宋体"/>
          <w:b/>
          <w:sz w:val="48"/>
          <w:szCs w:val="48"/>
        </w:rPr>
      </w:pPr>
      <w:r>
        <w:rPr>
          <w:rFonts w:hint="eastAsia" w:ascii="宋体" w:hAnsi="宋体"/>
          <w:b/>
          <w:sz w:val="48"/>
          <w:szCs w:val="48"/>
        </w:rPr>
        <w:t>编制说明</w:t>
      </w:r>
    </w:p>
    <w:p w14:paraId="16E874FA">
      <w:pPr>
        <w:spacing w:line="360" w:lineRule="auto"/>
        <w:jc w:val="center"/>
        <w:rPr>
          <w:rFonts w:hint="eastAsia" w:ascii="宋体" w:hAnsi="宋体"/>
          <w:b/>
          <w:sz w:val="44"/>
          <w:szCs w:val="44"/>
        </w:rPr>
      </w:pPr>
    </w:p>
    <w:p w14:paraId="373577B7">
      <w:pPr>
        <w:spacing w:line="360" w:lineRule="auto"/>
        <w:jc w:val="center"/>
        <w:rPr>
          <w:rFonts w:hint="eastAsia" w:ascii="宋体" w:hAnsi="宋体"/>
          <w:b/>
          <w:sz w:val="44"/>
          <w:szCs w:val="44"/>
        </w:rPr>
      </w:pPr>
    </w:p>
    <w:p w14:paraId="53F59901">
      <w:pPr>
        <w:spacing w:line="360" w:lineRule="auto"/>
        <w:jc w:val="center"/>
        <w:rPr>
          <w:rFonts w:hint="eastAsia" w:ascii="宋体" w:hAnsi="宋体"/>
          <w:b/>
          <w:sz w:val="44"/>
          <w:szCs w:val="44"/>
        </w:rPr>
      </w:pPr>
    </w:p>
    <w:p w14:paraId="66207B60">
      <w:pPr>
        <w:spacing w:line="360" w:lineRule="auto"/>
        <w:jc w:val="center"/>
        <w:rPr>
          <w:rFonts w:hint="eastAsia" w:ascii="宋体" w:hAnsi="宋体"/>
          <w:b/>
          <w:sz w:val="44"/>
          <w:szCs w:val="44"/>
        </w:rPr>
      </w:pPr>
    </w:p>
    <w:p w14:paraId="61627897">
      <w:pPr>
        <w:spacing w:line="360" w:lineRule="auto"/>
        <w:jc w:val="center"/>
        <w:rPr>
          <w:rFonts w:hint="eastAsia" w:ascii="宋体" w:hAnsi="宋体"/>
          <w:b/>
          <w:sz w:val="44"/>
          <w:szCs w:val="44"/>
        </w:rPr>
      </w:pPr>
    </w:p>
    <w:p w14:paraId="57058E8F">
      <w:pPr>
        <w:spacing w:line="360" w:lineRule="auto"/>
        <w:jc w:val="center"/>
        <w:rPr>
          <w:rFonts w:hint="eastAsia" w:ascii="宋体" w:hAnsi="宋体"/>
          <w:b/>
          <w:sz w:val="44"/>
          <w:szCs w:val="44"/>
        </w:rPr>
      </w:pPr>
    </w:p>
    <w:p w14:paraId="79FC50FD">
      <w:pPr>
        <w:spacing w:line="360" w:lineRule="auto"/>
        <w:jc w:val="center"/>
        <w:rPr>
          <w:rFonts w:hint="eastAsia" w:ascii="宋体" w:hAnsi="宋体"/>
          <w:b/>
          <w:sz w:val="44"/>
          <w:szCs w:val="44"/>
        </w:rPr>
      </w:pPr>
    </w:p>
    <w:p w14:paraId="0DCBE8DA">
      <w:pPr>
        <w:spacing w:line="360" w:lineRule="auto"/>
        <w:jc w:val="center"/>
        <w:rPr>
          <w:rFonts w:hint="eastAsia" w:ascii="宋体" w:hAnsi="宋体"/>
          <w:b/>
          <w:sz w:val="44"/>
          <w:szCs w:val="44"/>
        </w:rPr>
      </w:pPr>
    </w:p>
    <w:p w14:paraId="0C396640">
      <w:pPr>
        <w:spacing w:line="360" w:lineRule="auto"/>
        <w:jc w:val="center"/>
        <w:rPr>
          <w:rFonts w:hint="eastAsia" w:ascii="宋体" w:hAnsi="宋体"/>
          <w:b/>
          <w:sz w:val="44"/>
          <w:szCs w:val="44"/>
        </w:rPr>
      </w:pPr>
    </w:p>
    <w:p w14:paraId="57EF7CDA">
      <w:pPr>
        <w:spacing w:line="360" w:lineRule="auto"/>
        <w:jc w:val="center"/>
        <w:rPr>
          <w:rFonts w:hint="eastAsia" w:ascii="宋体" w:hAnsi="宋体"/>
          <w:b/>
          <w:sz w:val="44"/>
          <w:szCs w:val="44"/>
        </w:rPr>
      </w:pPr>
    </w:p>
    <w:p w14:paraId="59146708">
      <w:pPr>
        <w:spacing w:line="360" w:lineRule="auto"/>
        <w:jc w:val="center"/>
        <w:rPr>
          <w:rFonts w:hint="eastAsia" w:ascii="宋体" w:hAnsi="宋体"/>
          <w:b/>
          <w:sz w:val="44"/>
          <w:szCs w:val="44"/>
        </w:rPr>
      </w:pPr>
    </w:p>
    <w:p w14:paraId="7CC61329">
      <w:pPr>
        <w:spacing w:line="360" w:lineRule="auto"/>
        <w:jc w:val="center"/>
        <w:rPr>
          <w:rFonts w:hint="eastAsia" w:ascii="宋体" w:hAnsi="宋体"/>
          <w:b/>
          <w:sz w:val="44"/>
          <w:szCs w:val="44"/>
        </w:rPr>
      </w:pPr>
    </w:p>
    <w:p w14:paraId="1935734D">
      <w:pPr>
        <w:spacing w:line="360" w:lineRule="auto"/>
        <w:jc w:val="center"/>
        <w:rPr>
          <w:rFonts w:hint="eastAsia" w:ascii="宋体" w:hAnsi="宋体"/>
          <w:sz w:val="32"/>
          <w:szCs w:val="32"/>
        </w:rPr>
      </w:pPr>
      <w:r>
        <w:rPr>
          <w:rFonts w:hint="eastAsia" w:ascii="宋体" w:hAnsi="宋体"/>
          <w:sz w:val="32"/>
          <w:szCs w:val="32"/>
        </w:rPr>
        <w:t>20</w:t>
      </w:r>
      <w:r>
        <w:rPr>
          <w:rFonts w:ascii="宋体" w:hAnsi="宋体"/>
          <w:sz w:val="32"/>
          <w:szCs w:val="32"/>
        </w:rPr>
        <w:t>2</w:t>
      </w:r>
      <w:r>
        <w:rPr>
          <w:rFonts w:hint="eastAsia" w:ascii="宋体" w:hAnsi="宋体"/>
          <w:sz w:val="32"/>
          <w:szCs w:val="32"/>
          <w:lang w:val="en-US" w:eastAsia="zh-CN"/>
        </w:rPr>
        <w:t>6</w:t>
      </w:r>
      <w:bookmarkStart w:id="0" w:name="_GoBack"/>
      <w:bookmarkEnd w:id="0"/>
      <w:r>
        <w:rPr>
          <w:rFonts w:hint="eastAsia" w:ascii="宋体" w:hAnsi="宋体"/>
          <w:sz w:val="32"/>
          <w:szCs w:val="32"/>
        </w:rPr>
        <w:t>年</w:t>
      </w:r>
      <w:r>
        <w:rPr>
          <w:rFonts w:hint="eastAsia" w:ascii="宋体" w:hAnsi="宋体"/>
          <w:sz w:val="32"/>
          <w:szCs w:val="32"/>
          <w:lang w:val="en-US" w:eastAsia="zh-CN"/>
        </w:rPr>
        <w:t>03</w:t>
      </w:r>
      <w:r>
        <w:rPr>
          <w:rFonts w:hint="eastAsia" w:ascii="宋体" w:hAnsi="宋体"/>
          <w:sz w:val="32"/>
          <w:szCs w:val="32"/>
        </w:rPr>
        <w:t>月</w:t>
      </w:r>
    </w:p>
    <w:p w14:paraId="0C221201">
      <w:pPr>
        <w:pStyle w:val="3"/>
        <w:numPr>
          <w:ilvl w:val="0"/>
          <w:numId w:val="0"/>
        </w:numPr>
        <w:ind w:leftChars="0"/>
        <w:rPr>
          <w:rFonts w:hint="eastAsia" w:ascii="宋体" w:hAnsi="宋体" w:eastAsia="宋体" w:cs="宋体"/>
          <w:sz w:val="28"/>
          <w:szCs w:val="28"/>
        </w:rPr>
      </w:pPr>
      <w:r>
        <w:rPr>
          <w:rFonts w:ascii="宋体" w:hAnsi="宋体"/>
          <w:b/>
          <w:sz w:val="32"/>
          <w:szCs w:val="32"/>
        </w:rPr>
        <w:br w:type="page"/>
      </w:r>
      <w:r>
        <w:rPr>
          <w:rFonts w:hint="eastAsia" w:ascii="宋体" w:hAnsi="宋体" w:eastAsia="宋体" w:cs="宋体"/>
          <w:b/>
          <w:kern w:val="2"/>
          <w:sz w:val="28"/>
          <w:szCs w:val="28"/>
          <w:lang w:val="en-US" w:eastAsia="zh-CN" w:bidi="ar-SA"/>
        </w:rPr>
        <w:t>一、任务来源</w:t>
      </w:r>
    </w:p>
    <w:p w14:paraId="7783DD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根据市场监管总局办公厅关于下达《</w:t>
      </w:r>
      <w:r>
        <w:rPr>
          <w:rFonts w:hint="eastAsia" w:ascii="宋体" w:hAnsi="宋体" w:cs="宋体"/>
          <w:sz w:val="24"/>
          <w:szCs w:val="24"/>
          <w:lang w:val="en-US" w:eastAsia="zh-CN"/>
        </w:rPr>
        <w:t>2022年国家计量技术规范制修订和宣贯计划》（市监计量函</w:t>
      </w:r>
      <w:r>
        <w:rPr>
          <w:rFonts w:hint="eastAsia" w:ascii="宋体" w:hAnsi="宋体" w:eastAsia="宋体" w:cs="宋体"/>
          <w:sz w:val="24"/>
          <w:szCs w:val="24"/>
        </w:rPr>
        <w:t>【202</w:t>
      </w:r>
      <w:r>
        <w:rPr>
          <w:rFonts w:hint="eastAsia" w:ascii="宋体" w:hAnsi="宋体" w:cs="宋体"/>
          <w:sz w:val="24"/>
          <w:szCs w:val="24"/>
          <w:lang w:val="en-US" w:eastAsia="zh-CN"/>
        </w:rPr>
        <w:t>1</w:t>
      </w:r>
      <w:r>
        <w:rPr>
          <w:rFonts w:hint="eastAsia" w:ascii="宋体" w:hAnsi="宋体" w:eastAsia="宋体" w:cs="宋体"/>
          <w:sz w:val="24"/>
          <w:szCs w:val="24"/>
        </w:rPr>
        <w:t>】</w:t>
      </w:r>
      <w:r>
        <w:rPr>
          <w:rFonts w:hint="eastAsia" w:ascii="宋体" w:hAnsi="宋体" w:cs="宋体"/>
          <w:sz w:val="24"/>
          <w:szCs w:val="24"/>
          <w:lang w:val="en-US" w:eastAsia="zh-CN"/>
        </w:rPr>
        <w:t>2109</w:t>
      </w:r>
      <w:r>
        <w:rPr>
          <w:rFonts w:hint="eastAsia" w:ascii="宋体" w:hAnsi="宋体" w:eastAsia="宋体" w:cs="宋体"/>
          <w:sz w:val="24"/>
          <w:szCs w:val="24"/>
        </w:rPr>
        <w:t>号</w:t>
      </w:r>
      <w:r>
        <w:rPr>
          <w:rFonts w:hint="eastAsia" w:ascii="宋体" w:hAnsi="宋体" w:cs="宋体"/>
          <w:sz w:val="24"/>
          <w:szCs w:val="24"/>
          <w:lang w:val="en-US" w:eastAsia="zh-CN"/>
        </w:rPr>
        <w:t>）</w:t>
      </w:r>
      <w:r>
        <w:rPr>
          <w:rFonts w:hint="eastAsia" w:ascii="宋体" w:hAnsi="宋体" w:eastAsia="宋体" w:cs="宋体"/>
          <w:sz w:val="24"/>
          <w:szCs w:val="24"/>
        </w:rPr>
        <w:t>，由全国电磁计量技术委员会归口管理，</w:t>
      </w:r>
      <w:r>
        <w:rPr>
          <w:rFonts w:hint="eastAsia" w:ascii="宋体" w:hAnsi="宋体" w:cs="宋体"/>
          <w:sz w:val="24"/>
          <w:szCs w:val="24"/>
          <w:lang w:eastAsia="zh-CN"/>
        </w:rPr>
        <w:t>中国计量科学研究院</w:t>
      </w:r>
      <w:r>
        <w:rPr>
          <w:rFonts w:hint="eastAsia" w:ascii="宋体" w:hAnsi="宋体" w:eastAsia="宋体" w:cs="宋体"/>
          <w:sz w:val="24"/>
          <w:szCs w:val="24"/>
        </w:rPr>
        <w:t>为主要起草单位，</w:t>
      </w:r>
      <w:r>
        <w:rPr>
          <w:rFonts w:hint="eastAsia" w:ascii="宋体" w:hAnsi="宋体" w:cs="宋体"/>
          <w:sz w:val="24"/>
          <w:szCs w:val="24"/>
          <w:lang w:eastAsia="zh-CN"/>
        </w:rPr>
        <w:t>、</w:t>
      </w:r>
      <w:r>
        <w:rPr>
          <w:rFonts w:hint="eastAsia" w:ascii="宋体" w:hAnsi="宋体" w:cs="宋体"/>
          <w:sz w:val="24"/>
          <w:szCs w:val="24"/>
          <w:lang w:val="en-US" w:eastAsia="zh-CN"/>
        </w:rPr>
        <w:t>山西省检验检测中心、湖北省计量测试技术研究院、陕西省计量科学研究院、中国测试技术研究院</w:t>
      </w:r>
      <w:r>
        <w:rPr>
          <w:rFonts w:hint="eastAsia" w:ascii="宋体" w:hAnsi="宋体" w:eastAsia="宋体" w:cs="宋体"/>
          <w:sz w:val="24"/>
          <w:szCs w:val="24"/>
        </w:rPr>
        <w:t>为参加单位负责制定国家计量校准规范《</w:t>
      </w:r>
      <w:r>
        <w:rPr>
          <w:rFonts w:hint="eastAsia" w:ascii="宋体" w:hAnsi="宋体" w:cs="宋体"/>
          <w:sz w:val="24"/>
          <w:szCs w:val="24"/>
          <w:lang w:val="en-US" w:eastAsia="zh-CN"/>
        </w:rPr>
        <w:t>基于椭球拟合的矢量磁强计</w:t>
      </w:r>
      <w:r>
        <w:rPr>
          <w:rFonts w:hint="eastAsia" w:ascii="宋体" w:hAnsi="宋体" w:eastAsia="宋体" w:cs="宋体"/>
          <w:sz w:val="24"/>
          <w:szCs w:val="24"/>
        </w:rPr>
        <w:t>校准规范》。</w:t>
      </w:r>
    </w:p>
    <w:p w14:paraId="5F86D6B5">
      <w:pPr>
        <w:spacing w:line="360" w:lineRule="auto"/>
        <w:rPr>
          <w:rFonts w:hint="eastAsia" w:ascii="宋体" w:hAnsi="宋体" w:eastAsia="宋体" w:cs="宋体"/>
          <w:b/>
          <w:sz w:val="28"/>
          <w:szCs w:val="28"/>
        </w:rPr>
      </w:pPr>
      <w:r>
        <w:rPr>
          <w:rFonts w:hint="eastAsia" w:ascii="宋体" w:hAnsi="宋体" w:cs="宋体"/>
          <w:b/>
          <w:sz w:val="28"/>
          <w:szCs w:val="28"/>
          <w:lang w:eastAsia="zh-CN"/>
        </w:rPr>
        <w:t>二、</w:t>
      </w:r>
      <w:r>
        <w:rPr>
          <w:rFonts w:hint="eastAsia" w:ascii="宋体" w:hAnsi="宋体" w:eastAsia="宋体" w:cs="宋体"/>
          <w:b/>
          <w:sz w:val="28"/>
          <w:szCs w:val="28"/>
        </w:rPr>
        <w:t>编制的必要性</w:t>
      </w:r>
    </w:p>
    <w:p w14:paraId="29196B3E">
      <w:pPr>
        <w:autoSpaceDE w:val="0"/>
        <w:autoSpaceDN w:val="0"/>
        <w:adjustRightInd w:val="0"/>
        <w:spacing w:line="360" w:lineRule="auto"/>
        <w:ind w:firstLine="480" w:firstLineChars="200"/>
        <w:rPr>
          <w:rFonts w:hint="eastAsia" w:hAnsi="宋体"/>
          <w:sz w:val="24"/>
          <w:szCs w:val="24"/>
          <w:vertAlign w:val="baseline"/>
          <w:lang w:val="en-US" w:eastAsia="zh-CN"/>
        </w:rPr>
      </w:pPr>
      <w:r>
        <w:rPr>
          <w:rFonts w:hint="eastAsia" w:hAnsi="宋体"/>
          <w:sz w:val="24"/>
          <w:szCs w:val="24"/>
          <w:vertAlign w:val="baseline"/>
          <w:lang w:val="en-US" w:eastAsia="zh-CN"/>
        </w:rPr>
        <w:t>矢量磁强计是一类可以同时测量空间多个维度磁感应强度分量的磁测量传感器，由于具备体积小、灵敏度高、响应快、成本低等优势，目前已经广泛应用于航空航天、海洋勘探、地质调查、工业检测、消费电子等多个领域。</w:t>
      </w:r>
    </w:p>
    <w:p w14:paraId="752A50E2">
      <w:pPr>
        <w:autoSpaceDE w:val="0"/>
        <w:autoSpaceDN w:val="0"/>
        <w:adjustRightInd w:val="0"/>
        <w:spacing w:line="360" w:lineRule="auto"/>
        <w:ind w:firstLine="480" w:firstLineChars="200"/>
        <w:rPr>
          <w:rFonts w:hint="eastAsia" w:hAnsi="宋体"/>
          <w:sz w:val="24"/>
          <w:szCs w:val="24"/>
          <w:vertAlign w:val="baseline"/>
          <w:lang w:val="en-US" w:eastAsia="zh-CN"/>
        </w:rPr>
      </w:pPr>
      <w:r>
        <w:rPr>
          <w:rFonts w:hint="eastAsia" w:hAnsi="宋体"/>
          <w:sz w:val="24"/>
          <w:szCs w:val="24"/>
          <w:vertAlign w:val="baseline"/>
          <w:lang w:val="en-US" w:eastAsia="zh-CN"/>
        </w:rPr>
        <w:t>未经校准的矢量磁强计，各传感轴存在固有灵敏度偏差、轴非正交偏差以及零位偏移误差，这些误差会直接导致矢量磁感应强度的测量结果失准，影响后续应用的可靠性。基于椭球拟合的校准方法是当前矢量磁强计领域常用的现场快速校准方法，该方法无需依赖高精度标准匀强磁场发生装置，即可完成上述误差参数的解算与修正，操作便捷、适用性强，在产业端得到大量推广应用。</w:t>
      </w:r>
    </w:p>
    <w:p w14:paraId="623469A7">
      <w:pPr>
        <w:autoSpaceDE w:val="0"/>
        <w:autoSpaceDN w:val="0"/>
        <w:adjustRightInd w:val="0"/>
        <w:spacing w:line="360" w:lineRule="auto"/>
        <w:ind w:firstLine="480" w:firstLineChars="200"/>
        <w:rPr>
          <w:rFonts w:hint="eastAsia" w:hAnsi="宋体"/>
          <w:sz w:val="24"/>
          <w:szCs w:val="24"/>
          <w:vertAlign w:val="baseline"/>
          <w:lang w:val="en-US" w:eastAsia="zh-CN"/>
        </w:rPr>
      </w:pPr>
      <w:r>
        <w:rPr>
          <w:rFonts w:hint="eastAsia" w:hAnsi="宋体"/>
          <w:sz w:val="24"/>
          <w:szCs w:val="24"/>
          <w:vertAlign w:val="baseline"/>
          <w:lang w:val="en-US" w:eastAsia="zh-CN"/>
        </w:rPr>
        <w:t xml:space="preserve">目前我国尚未出台针对基于椭球拟合方法的矢量磁强计校准的国家级计量技术规范，缺少统一的校准方法、技术要求和计量性能指标评定规则，导致不同计量机构、不同使用单位开展校准时使用的技术方案差异较大，校准结果的一致性和可靠性无法得到保障，难以对矢量磁强计的测量性能进行科学、公正、准确的评定，也制约了该类仪器在各行业的规范化应用。因此，制定《基于椭球拟合的矢量磁强计校准规范》，填补国内该领域计量技术规范的空白，对统一矢量磁强计椭球拟合法校准的技术要求，保障量值传递的准确一致，支撑相关产业的高质量发展具有重要意义。 </w:t>
      </w:r>
    </w:p>
    <w:p w14:paraId="5EDB4BD3">
      <w:pPr>
        <w:pStyle w:val="3"/>
        <w:numPr>
          <w:ilvl w:val="0"/>
          <w:numId w:val="0"/>
        </w:numPr>
        <w:ind w:leftChars="0"/>
        <w:rPr>
          <w:rFonts w:hint="eastAsia" w:ascii="宋体" w:hAnsi="宋体" w:eastAsia="宋体" w:cs="宋体"/>
        </w:rPr>
      </w:pPr>
      <w:r>
        <w:rPr>
          <w:rFonts w:hint="eastAsia" w:ascii="宋体" w:eastAsia="宋体" w:cs="宋体"/>
          <w:lang w:eastAsia="zh-CN"/>
        </w:rPr>
        <w:t>三、</w:t>
      </w:r>
      <w:r>
        <w:rPr>
          <w:rFonts w:hint="eastAsia" w:ascii="宋体" w:hAnsi="宋体" w:eastAsia="宋体" w:cs="宋体"/>
        </w:rPr>
        <w:t>编制过程</w:t>
      </w:r>
    </w:p>
    <w:p w14:paraId="432A2D95">
      <w:pPr>
        <w:numPr>
          <w:ilvl w:val="0"/>
          <w:numId w:val="0"/>
        </w:numPr>
        <w:tabs>
          <w:tab w:val="left" w:pos="540"/>
        </w:tabs>
        <w:spacing w:line="360" w:lineRule="auto"/>
        <w:ind w:leftChars="0"/>
        <w:rPr>
          <w:rFonts w:eastAsia="黑体"/>
          <w:sz w:val="24"/>
        </w:rPr>
      </w:pPr>
      <w:r>
        <w:rPr>
          <w:rFonts w:hint="eastAsia" w:eastAsia="黑体"/>
          <w:sz w:val="24"/>
          <w:lang w:val="en-US" w:eastAsia="zh-CN"/>
        </w:rPr>
        <w:t xml:space="preserve">3.1 </w:t>
      </w:r>
      <w:r>
        <w:rPr>
          <w:rFonts w:hint="eastAsia" w:eastAsia="黑体"/>
          <w:sz w:val="24"/>
          <w:lang w:eastAsia="zh-CN"/>
        </w:rPr>
        <w:t>编写</w:t>
      </w:r>
      <w:r>
        <w:rPr>
          <w:rFonts w:eastAsia="黑体"/>
          <w:sz w:val="24"/>
        </w:rPr>
        <w:t>原则</w:t>
      </w:r>
    </w:p>
    <w:p w14:paraId="373678AF">
      <w:pPr>
        <w:spacing w:line="360" w:lineRule="auto"/>
        <w:ind w:firstLine="480" w:firstLineChars="200"/>
        <w:rPr>
          <w:sz w:val="24"/>
        </w:rPr>
      </w:pPr>
      <w:r>
        <w:rPr>
          <w:sz w:val="24"/>
        </w:rPr>
        <w:t>根据计划要求，</w:t>
      </w:r>
      <w:r>
        <w:rPr>
          <w:rFonts w:hint="eastAsia"/>
          <w:sz w:val="24"/>
          <w:lang w:val="en-US" w:eastAsia="zh-CN"/>
        </w:rPr>
        <w:t>主要起草</w:t>
      </w:r>
      <w:r>
        <w:rPr>
          <w:sz w:val="24"/>
        </w:rPr>
        <w:t>单位于202</w:t>
      </w:r>
      <w:r>
        <w:rPr>
          <w:rFonts w:hint="eastAsia"/>
          <w:sz w:val="24"/>
          <w:lang w:val="en-US" w:eastAsia="zh-CN"/>
        </w:rPr>
        <w:t>5</w:t>
      </w:r>
      <w:r>
        <w:rPr>
          <w:sz w:val="24"/>
        </w:rPr>
        <w:t>年</w:t>
      </w:r>
      <w:r>
        <w:rPr>
          <w:rFonts w:hint="eastAsia"/>
          <w:sz w:val="24"/>
          <w:lang w:val="en-US" w:eastAsia="zh-CN"/>
        </w:rPr>
        <w:t>4</w:t>
      </w:r>
      <w:r>
        <w:rPr>
          <w:sz w:val="24"/>
        </w:rPr>
        <w:t>月正式成立《规范》</w:t>
      </w:r>
      <w:r>
        <w:rPr>
          <w:rFonts w:hint="eastAsia"/>
          <w:sz w:val="24"/>
          <w:lang w:eastAsia="zh-CN"/>
        </w:rPr>
        <w:t>编写</w:t>
      </w:r>
      <w:r>
        <w:rPr>
          <w:sz w:val="24"/>
        </w:rPr>
        <w:t>组，依据</w:t>
      </w:r>
      <w:r>
        <w:rPr>
          <w:rFonts w:hint="eastAsia"/>
          <w:sz w:val="24"/>
          <w:lang w:eastAsia="zh-CN"/>
        </w:rPr>
        <w:t>编写</w:t>
      </w:r>
      <w:r>
        <w:rPr>
          <w:sz w:val="24"/>
        </w:rPr>
        <w:t>组的工作职责，制定了工作计划。参加</w:t>
      </w:r>
      <w:r>
        <w:rPr>
          <w:rFonts w:hint="eastAsia"/>
          <w:sz w:val="24"/>
          <w:lang w:eastAsia="zh-CN"/>
        </w:rPr>
        <w:t>编写</w:t>
      </w:r>
      <w:r>
        <w:rPr>
          <w:sz w:val="24"/>
        </w:rPr>
        <w:t>的工作人员确定了《规范》的结构框架和如下编写原则：</w:t>
      </w:r>
    </w:p>
    <w:p w14:paraId="63CCA838">
      <w:pPr>
        <w:numPr>
          <w:ilvl w:val="0"/>
          <w:numId w:val="2"/>
        </w:numPr>
        <w:spacing w:line="360" w:lineRule="auto"/>
        <w:rPr>
          <w:sz w:val="24"/>
        </w:rPr>
      </w:pPr>
      <w:r>
        <w:rPr>
          <w:sz w:val="24"/>
        </w:rPr>
        <w:t>适用性，规范内容应便于实施；</w:t>
      </w:r>
    </w:p>
    <w:p w14:paraId="051759E2">
      <w:pPr>
        <w:numPr>
          <w:ilvl w:val="0"/>
          <w:numId w:val="2"/>
        </w:numPr>
        <w:spacing w:line="360" w:lineRule="auto"/>
        <w:rPr>
          <w:sz w:val="24"/>
        </w:rPr>
      </w:pPr>
      <w:r>
        <w:rPr>
          <w:sz w:val="24"/>
        </w:rPr>
        <w:t>完整性，设置的条款应力求全面、实用，涵盖</w:t>
      </w:r>
      <w:r>
        <w:rPr>
          <w:rFonts w:hint="eastAsia"/>
          <w:sz w:val="24"/>
          <w:lang w:val="en-US" w:eastAsia="zh-CN"/>
        </w:rPr>
        <w:t>矢量磁强计</w:t>
      </w:r>
      <w:r>
        <w:rPr>
          <w:sz w:val="24"/>
        </w:rPr>
        <w:t>（以下简称</w:t>
      </w:r>
      <w:r>
        <w:rPr>
          <w:rFonts w:hint="eastAsia"/>
          <w:sz w:val="24"/>
          <w:lang w:val="en-US" w:eastAsia="zh-CN"/>
        </w:rPr>
        <w:t>磁强计</w:t>
      </w:r>
      <w:r>
        <w:rPr>
          <w:sz w:val="24"/>
        </w:rPr>
        <w:t>）校准的全部要求；</w:t>
      </w:r>
    </w:p>
    <w:p w14:paraId="267C17F3">
      <w:pPr>
        <w:numPr>
          <w:ilvl w:val="0"/>
          <w:numId w:val="2"/>
        </w:numPr>
        <w:spacing w:line="360" w:lineRule="auto"/>
        <w:rPr>
          <w:sz w:val="24"/>
        </w:rPr>
      </w:pPr>
      <w:r>
        <w:rPr>
          <w:sz w:val="24"/>
        </w:rPr>
        <w:t>正确性，文字简练，描述科学、准确。</w:t>
      </w:r>
    </w:p>
    <w:p w14:paraId="23ED111F">
      <w:pPr>
        <w:spacing w:line="360" w:lineRule="auto"/>
        <w:ind w:firstLine="570"/>
        <w:rPr>
          <w:rFonts w:hint="eastAsia"/>
          <w:sz w:val="24"/>
          <w:szCs w:val="24"/>
          <w:highlight w:val="none"/>
        </w:rPr>
      </w:pPr>
      <w:r>
        <w:rPr>
          <w:rFonts w:hint="eastAsia"/>
          <w:sz w:val="24"/>
          <w:szCs w:val="24"/>
          <w:highlight w:val="none"/>
        </w:rPr>
        <w:t>本规范为首次制定，制定过程中严格按照JJF 1071《国家计量校准规范编写规则》、JJF 1001《通用计量术语及定义》、JJF 1059.1《测量不确定度评定与表示》进行编制，并与相关标准协调统一。</w:t>
      </w:r>
    </w:p>
    <w:p w14:paraId="0F0EF7C0">
      <w:pPr>
        <w:pStyle w:val="2"/>
      </w:pPr>
    </w:p>
    <w:p w14:paraId="2AEAA330">
      <w:pPr>
        <w:numPr>
          <w:ilvl w:val="0"/>
          <w:numId w:val="0"/>
        </w:numPr>
        <w:tabs>
          <w:tab w:val="left" w:pos="540"/>
        </w:tabs>
        <w:spacing w:line="360" w:lineRule="auto"/>
        <w:ind w:leftChars="0"/>
        <w:rPr>
          <w:rFonts w:eastAsia="黑体"/>
          <w:sz w:val="24"/>
        </w:rPr>
      </w:pPr>
      <w:r>
        <w:rPr>
          <w:rFonts w:hint="eastAsia" w:eastAsia="黑体"/>
          <w:sz w:val="24"/>
          <w:lang w:val="en-US" w:eastAsia="zh-CN"/>
        </w:rPr>
        <w:t xml:space="preserve">3.2 </w:t>
      </w:r>
      <w:r>
        <w:rPr>
          <w:rFonts w:eastAsia="黑体"/>
          <w:sz w:val="24"/>
        </w:rPr>
        <w:t>各阶段的主要工作</w:t>
      </w:r>
    </w:p>
    <w:p w14:paraId="4D8F8D11">
      <w:pPr>
        <w:spacing w:line="360" w:lineRule="auto"/>
        <w:ind w:firstLine="480" w:firstLineChars="200"/>
        <w:rPr>
          <w:rFonts w:hint="eastAsia" w:eastAsia="宋体"/>
          <w:sz w:val="24"/>
          <w:lang w:eastAsia="zh-CN"/>
        </w:rPr>
      </w:pPr>
      <w:r>
        <w:rPr>
          <w:sz w:val="24"/>
        </w:rPr>
        <w:t>202</w:t>
      </w:r>
      <w:r>
        <w:rPr>
          <w:rFonts w:hint="eastAsia"/>
          <w:sz w:val="24"/>
          <w:lang w:val="en-US" w:eastAsia="zh-CN"/>
        </w:rPr>
        <w:t>5</w:t>
      </w:r>
      <w:r>
        <w:rPr>
          <w:sz w:val="24"/>
        </w:rPr>
        <w:t>年</w:t>
      </w:r>
      <w:r>
        <w:rPr>
          <w:rFonts w:hint="eastAsia"/>
          <w:sz w:val="24"/>
          <w:lang w:val="en-US" w:eastAsia="zh-CN"/>
        </w:rPr>
        <w:t>4</w:t>
      </w:r>
      <w:r>
        <w:rPr>
          <w:sz w:val="24"/>
        </w:rPr>
        <w:t>月：成立</w:t>
      </w:r>
      <w:r>
        <w:rPr>
          <w:rFonts w:hint="eastAsia"/>
          <w:sz w:val="24"/>
          <w:lang w:eastAsia="zh-CN"/>
        </w:rPr>
        <w:t>编写</w:t>
      </w:r>
      <w:r>
        <w:rPr>
          <w:sz w:val="24"/>
        </w:rPr>
        <w:t>组，制定工作计划</w:t>
      </w:r>
      <w:r>
        <w:rPr>
          <w:rFonts w:hint="eastAsia"/>
          <w:sz w:val="24"/>
          <w:lang w:eastAsia="zh-CN"/>
        </w:rPr>
        <w:t>；</w:t>
      </w:r>
    </w:p>
    <w:p w14:paraId="1E36F7D3">
      <w:pPr>
        <w:spacing w:line="360" w:lineRule="auto"/>
        <w:ind w:firstLine="480" w:firstLineChars="200"/>
        <w:rPr>
          <w:rFonts w:hint="eastAsia" w:eastAsia="宋体"/>
          <w:sz w:val="24"/>
          <w:lang w:eastAsia="zh-CN"/>
        </w:rPr>
      </w:pPr>
      <w:r>
        <w:rPr>
          <w:sz w:val="24"/>
        </w:rPr>
        <w:t>202</w:t>
      </w:r>
      <w:r>
        <w:rPr>
          <w:rFonts w:hint="eastAsia"/>
          <w:sz w:val="24"/>
          <w:lang w:val="en-US" w:eastAsia="zh-CN"/>
        </w:rPr>
        <w:t>5</w:t>
      </w:r>
      <w:r>
        <w:rPr>
          <w:sz w:val="24"/>
        </w:rPr>
        <w:t>年</w:t>
      </w:r>
      <w:r>
        <w:rPr>
          <w:rFonts w:hint="eastAsia"/>
          <w:sz w:val="24"/>
          <w:lang w:val="en-US" w:eastAsia="zh-CN"/>
        </w:rPr>
        <w:t>5</w:t>
      </w:r>
      <w:r>
        <w:rPr>
          <w:sz w:val="24"/>
        </w:rPr>
        <w:t>月～12月：完成调研与资料收集，完成《规范》初稿</w:t>
      </w:r>
      <w:r>
        <w:rPr>
          <w:rFonts w:hint="eastAsia"/>
          <w:sz w:val="24"/>
          <w:lang w:eastAsia="zh-CN"/>
        </w:rPr>
        <w:t>编写；</w:t>
      </w:r>
    </w:p>
    <w:p w14:paraId="6092A715">
      <w:pPr>
        <w:spacing w:line="360" w:lineRule="auto"/>
        <w:ind w:firstLine="480" w:firstLineChars="200"/>
        <w:rPr>
          <w:rFonts w:hint="eastAsia" w:eastAsia="宋体"/>
          <w:sz w:val="24"/>
          <w:lang w:eastAsia="zh-CN"/>
        </w:rPr>
      </w:pPr>
      <w:r>
        <w:rPr>
          <w:sz w:val="24"/>
        </w:rPr>
        <w:t>202</w:t>
      </w:r>
      <w:r>
        <w:rPr>
          <w:rFonts w:hint="eastAsia"/>
          <w:sz w:val="24"/>
          <w:lang w:val="en-US" w:eastAsia="zh-CN"/>
        </w:rPr>
        <w:t>6</w:t>
      </w:r>
      <w:r>
        <w:rPr>
          <w:sz w:val="24"/>
        </w:rPr>
        <w:t>年1月～6月：在初稿基础上，听取专家意见，</w:t>
      </w:r>
      <w:r>
        <w:rPr>
          <w:rFonts w:hint="eastAsia"/>
          <w:sz w:val="24"/>
          <w:lang w:eastAsia="zh-CN"/>
        </w:rPr>
        <w:t>编写</w:t>
      </w:r>
      <w:r>
        <w:rPr>
          <w:sz w:val="24"/>
        </w:rPr>
        <w:t>组内部多次讨论修改，形成《规范》征求意见稿</w:t>
      </w:r>
      <w:r>
        <w:rPr>
          <w:rFonts w:hint="eastAsia"/>
          <w:sz w:val="24"/>
          <w:lang w:eastAsia="zh-CN"/>
        </w:rPr>
        <w:t>，以及</w:t>
      </w:r>
      <w:r>
        <w:rPr>
          <w:sz w:val="24"/>
        </w:rPr>
        <w:t>测量不确定度评定分析、验证试验等工作</w:t>
      </w:r>
      <w:r>
        <w:rPr>
          <w:rFonts w:hint="eastAsia"/>
          <w:sz w:val="24"/>
          <w:lang w:eastAsia="zh-CN"/>
        </w:rPr>
        <w:t>；</w:t>
      </w:r>
    </w:p>
    <w:p w14:paraId="01DDF0FC">
      <w:pPr>
        <w:spacing w:line="360" w:lineRule="auto"/>
        <w:ind w:firstLine="480" w:firstLineChars="200"/>
        <w:rPr>
          <w:rFonts w:hint="eastAsia" w:eastAsia="宋体"/>
          <w:sz w:val="24"/>
          <w:lang w:eastAsia="zh-CN"/>
        </w:rPr>
      </w:pPr>
      <w:r>
        <w:rPr>
          <w:sz w:val="24"/>
        </w:rPr>
        <w:t>202</w:t>
      </w:r>
      <w:r>
        <w:rPr>
          <w:rFonts w:hint="eastAsia"/>
          <w:sz w:val="24"/>
          <w:lang w:val="en-US" w:eastAsia="zh-CN"/>
        </w:rPr>
        <w:t>6</w:t>
      </w:r>
      <w:r>
        <w:rPr>
          <w:sz w:val="24"/>
        </w:rPr>
        <w:t>年7月～1</w:t>
      </w:r>
      <w:r>
        <w:rPr>
          <w:rFonts w:hint="eastAsia"/>
          <w:sz w:val="24"/>
          <w:lang w:val="en-US" w:eastAsia="zh-CN"/>
        </w:rPr>
        <w:t>1</w:t>
      </w:r>
      <w:r>
        <w:rPr>
          <w:sz w:val="24"/>
        </w:rPr>
        <w:t>月：</w:t>
      </w:r>
      <w:r>
        <w:rPr>
          <w:rFonts w:hint="eastAsia"/>
          <w:sz w:val="24"/>
        </w:rPr>
        <w:t>根据</w:t>
      </w:r>
      <w:r>
        <w:rPr>
          <w:rFonts w:hint="eastAsia"/>
          <w:sz w:val="24"/>
          <w:lang w:eastAsia="zh-CN"/>
        </w:rPr>
        <w:t>对校准规范征求意见稿</w:t>
      </w:r>
      <w:r>
        <w:rPr>
          <w:rFonts w:hint="eastAsia"/>
          <w:sz w:val="24"/>
        </w:rPr>
        <w:t>收集的意见情况，对规范进行修改完善，形成报审稿</w:t>
      </w:r>
      <w:r>
        <w:rPr>
          <w:rFonts w:hint="eastAsia"/>
          <w:sz w:val="24"/>
          <w:lang w:eastAsia="zh-CN"/>
        </w:rPr>
        <w:t>；</w:t>
      </w:r>
    </w:p>
    <w:p w14:paraId="5A4305A7">
      <w:pPr>
        <w:spacing w:line="360" w:lineRule="auto"/>
        <w:rPr>
          <w:rFonts w:hint="eastAsia" w:ascii="宋体" w:hAnsi="宋体"/>
          <w:b/>
          <w:sz w:val="28"/>
          <w:szCs w:val="28"/>
          <w:highlight w:val="none"/>
        </w:rPr>
      </w:pPr>
      <w:r>
        <w:rPr>
          <w:rFonts w:hint="eastAsia" w:ascii="宋体" w:hAnsi="宋体"/>
          <w:b/>
          <w:sz w:val="28"/>
          <w:szCs w:val="28"/>
          <w:highlight w:val="none"/>
          <w:lang w:eastAsia="zh-CN"/>
        </w:rPr>
        <w:t>四、</w:t>
      </w:r>
      <w:r>
        <w:rPr>
          <w:rFonts w:hint="eastAsia" w:ascii="宋体" w:hAnsi="宋体"/>
          <w:b/>
          <w:sz w:val="28"/>
          <w:szCs w:val="28"/>
          <w:highlight w:val="none"/>
        </w:rPr>
        <w:t>编写主要内容</w:t>
      </w:r>
    </w:p>
    <w:p w14:paraId="03BE1467">
      <w:pPr>
        <w:spacing w:line="360" w:lineRule="auto"/>
        <w:ind w:firstLine="570"/>
        <w:rPr>
          <w:rFonts w:hint="eastAsia"/>
          <w:sz w:val="24"/>
          <w:szCs w:val="24"/>
          <w:highlight w:val="none"/>
        </w:rPr>
      </w:pPr>
      <w:r>
        <w:rPr>
          <w:rFonts w:hint="eastAsia"/>
          <w:sz w:val="24"/>
          <w:szCs w:val="24"/>
          <w:highlight w:val="none"/>
        </w:rPr>
        <w:t>按照国家计量校准规范编制要求，本规范内容结构上共分为九章，分别是第一章范围、第二章引用文件、第三章术语和计量单位、第四章概述、第五章计量特性、第六章校准条件、第七章校准项目和校准方法、第八章校准结果表达及第九章复校时间间隔</w:t>
      </w:r>
      <w:r>
        <w:rPr>
          <w:rFonts w:hint="eastAsia"/>
          <w:sz w:val="24"/>
          <w:szCs w:val="24"/>
          <w:highlight w:val="none"/>
          <w:lang w:eastAsia="zh-CN"/>
        </w:rPr>
        <w:t>、</w:t>
      </w:r>
      <w:r>
        <w:rPr>
          <w:rFonts w:hint="eastAsia"/>
          <w:sz w:val="24"/>
          <w:szCs w:val="24"/>
          <w:highlight w:val="none"/>
        </w:rPr>
        <w:t xml:space="preserve">附录A </w:t>
      </w:r>
      <w:r>
        <w:rPr>
          <w:rFonts w:hint="eastAsia"/>
          <w:sz w:val="24"/>
          <w:szCs w:val="24"/>
          <w:highlight w:val="none"/>
          <w:lang w:val="en-US" w:eastAsia="zh-CN"/>
        </w:rPr>
        <w:t>测量不确定度评定示例、附录B椭球拟合法矢量磁强计</w:t>
      </w:r>
      <w:r>
        <w:rPr>
          <w:rFonts w:hint="eastAsia"/>
          <w:sz w:val="24"/>
          <w:szCs w:val="24"/>
          <w:highlight w:val="none"/>
        </w:rPr>
        <w:t>校准原始记录格式</w:t>
      </w:r>
      <w:r>
        <w:rPr>
          <w:rFonts w:hint="eastAsia"/>
          <w:sz w:val="24"/>
          <w:szCs w:val="24"/>
          <w:highlight w:val="none"/>
          <w:lang w:eastAsia="zh-CN"/>
        </w:rPr>
        <w:t>、</w:t>
      </w:r>
      <w:r>
        <w:rPr>
          <w:rFonts w:hint="eastAsia"/>
          <w:sz w:val="24"/>
          <w:szCs w:val="24"/>
          <w:highlight w:val="none"/>
        </w:rPr>
        <w:t>附录</w:t>
      </w:r>
      <w:r>
        <w:rPr>
          <w:rFonts w:hint="eastAsia"/>
          <w:sz w:val="24"/>
          <w:szCs w:val="24"/>
          <w:highlight w:val="none"/>
          <w:lang w:val="en-US" w:eastAsia="zh-CN"/>
        </w:rPr>
        <w:t>C</w:t>
      </w:r>
      <w:r>
        <w:rPr>
          <w:rFonts w:hint="eastAsia"/>
          <w:sz w:val="24"/>
          <w:szCs w:val="24"/>
          <w:highlight w:val="none"/>
        </w:rPr>
        <w:t xml:space="preserve"> 校准证书内页格式。</w:t>
      </w:r>
    </w:p>
    <w:p w14:paraId="61B80A57">
      <w:pPr>
        <w:spacing w:line="360" w:lineRule="auto"/>
        <w:rPr>
          <w:rFonts w:hint="eastAsia" w:ascii="宋体" w:hAnsi="宋体"/>
          <w:b/>
          <w:sz w:val="28"/>
          <w:szCs w:val="28"/>
          <w:highlight w:val="none"/>
        </w:rPr>
      </w:pPr>
      <w:r>
        <w:rPr>
          <w:rFonts w:hint="eastAsia" w:ascii="宋体" w:hAnsi="宋体"/>
          <w:b/>
          <w:sz w:val="28"/>
          <w:szCs w:val="28"/>
          <w:highlight w:val="none"/>
          <w:lang w:eastAsia="zh-CN"/>
        </w:rPr>
        <w:t>五、</w:t>
      </w:r>
      <w:r>
        <w:rPr>
          <w:rFonts w:hint="eastAsia" w:ascii="宋体" w:hAnsi="宋体"/>
          <w:b/>
          <w:sz w:val="28"/>
          <w:szCs w:val="28"/>
          <w:highlight w:val="none"/>
        </w:rPr>
        <w:t>编制说明</w:t>
      </w:r>
    </w:p>
    <w:p w14:paraId="2E463CA8">
      <w:pPr>
        <w:spacing w:line="360" w:lineRule="auto"/>
        <w:rPr>
          <w:rFonts w:hint="eastAsia"/>
          <w:b/>
          <w:bCs/>
          <w:sz w:val="24"/>
          <w:szCs w:val="24"/>
          <w:highlight w:val="none"/>
        </w:rPr>
      </w:pPr>
      <w:r>
        <w:rPr>
          <w:rFonts w:hint="eastAsia"/>
          <w:b/>
          <w:bCs/>
          <w:sz w:val="24"/>
          <w:szCs w:val="24"/>
          <w:highlight w:val="none"/>
          <w:lang w:val="en-US" w:eastAsia="zh-CN"/>
        </w:rPr>
        <w:t>1、</w:t>
      </w:r>
      <w:r>
        <w:rPr>
          <w:rFonts w:hint="eastAsia"/>
          <w:b/>
          <w:bCs/>
          <w:sz w:val="24"/>
          <w:szCs w:val="24"/>
          <w:highlight w:val="none"/>
        </w:rPr>
        <w:t>调研和编制情况</w:t>
      </w:r>
    </w:p>
    <w:p w14:paraId="629BAC72">
      <w:pPr>
        <w:spacing w:line="360" w:lineRule="auto"/>
        <w:ind w:firstLine="510"/>
        <w:rPr>
          <w:rFonts w:hint="eastAsia"/>
          <w:sz w:val="24"/>
          <w:szCs w:val="24"/>
          <w:highlight w:val="none"/>
        </w:rPr>
      </w:pPr>
      <w:r>
        <w:rPr>
          <w:rFonts w:hint="eastAsia"/>
          <w:sz w:val="24"/>
          <w:szCs w:val="24"/>
          <w:highlight w:val="none"/>
        </w:rPr>
        <w:t>根据任务需求，规范编写组调研了国内外生产的各种</w:t>
      </w:r>
      <w:r>
        <w:rPr>
          <w:rFonts w:hint="eastAsia"/>
          <w:sz w:val="24"/>
          <w:szCs w:val="24"/>
          <w:highlight w:val="none"/>
          <w:lang w:val="en-US" w:eastAsia="zh-CN"/>
        </w:rPr>
        <w:t>矢量磁</w:t>
      </w:r>
      <w:r>
        <w:rPr>
          <w:rFonts w:hint="eastAsia"/>
          <w:sz w:val="24"/>
          <w:szCs w:val="24"/>
          <w:highlight w:val="none"/>
          <w:lang w:eastAsia="zh-CN"/>
        </w:rPr>
        <w:t>场测量仪</w:t>
      </w:r>
      <w:r>
        <w:rPr>
          <w:rFonts w:hint="eastAsia"/>
          <w:sz w:val="24"/>
          <w:szCs w:val="24"/>
          <w:highlight w:val="none"/>
        </w:rPr>
        <w:t>的技术性能和使用情况，对国内开展</w:t>
      </w:r>
      <w:r>
        <w:rPr>
          <w:rFonts w:hint="eastAsia"/>
          <w:sz w:val="24"/>
          <w:szCs w:val="24"/>
          <w:highlight w:val="none"/>
          <w:lang w:val="en-US" w:eastAsia="zh-CN"/>
        </w:rPr>
        <w:t>矢量</w:t>
      </w:r>
      <w:r>
        <w:rPr>
          <w:rFonts w:hint="eastAsia"/>
          <w:sz w:val="24"/>
          <w:szCs w:val="24"/>
          <w:highlight w:val="none"/>
          <w:lang w:eastAsia="zh-CN"/>
        </w:rPr>
        <w:t>磁场测量仪</w:t>
      </w:r>
      <w:r>
        <w:rPr>
          <w:rFonts w:hint="eastAsia"/>
          <w:sz w:val="24"/>
          <w:szCs w:val="24"/>
          <w:highlight w:val="none"/>
        </w:rPr>
        <w:t>校准的主要技术机构进行了相关技术调研，查阅了相关文献资料，</w:t>
      </w:r>
      <w:r>
        <w:rPr>
          <w:rFonts w:hint="eastAsia"/>
          <w:sz w:val="24"/>
          <w:szCs w:val="24"/>
          <w:highlight w:val="none"/>
          <w:lang w:eastAsia="zh-CN"/>
        </w:rPr>
        <w:t>与生产厂家</w:t>
      </w:r>
      <w:r>
        <w:rPr>
          <w:rFonts w:hint="eastAsia"/>
          <w:sz w:val="24"/>
          <w:szCs w:val="24"/>
          <w:highlight w:val="none"/>
        </w:rPr>
        <w:t>进行了咨询和讨论，梳理了</w:t>
      </w:r>
      <w:r>
        <w:rPr>
          <w:rFonts w:hint="eastAsia"/>
          <w:sz w:val="24"/>
          <w:szCs w:val="24"/>
          <w:highlight w:val="none"/>
          <w:lang w:eastAsia="zh-CN"/>
        </w:rPr>
        <w:t>低频磁场测量仪</w:t>
      </w:r>
      <w:r>
        <w:rPr>
          <w:rFonts w:hint="eastAsia"/>
          <w:sz w:val="24"/>
          <w:szCs w:val="24"/>
          <w:highlight w:val="none"/>
        </w:rPr>
        <w:t>的技术指标和校准方法，规定了校准的范围、计量性能要求、校准方法、校准项目、校准结果表达、复校时间间隔等方面的内容。</w:t>
      </w:r>
    </w:p>
    <w:p w14:paraId="0D158CDA">
      <w:pPr>
        <w:spacing w:line="360" w:lineRule="auto"/>
        <w:ind w:firstLine="510"/>
        <w:rPr>
          <w:rFonts w:hint="default" w:eastAsia="宋体"/>
          <w:sz w:val="24"/>
          <w:szCs w:val="24"/>
          <w:highlight w:val="none"/>
          <w:lang w:val="en-US" w:eastAsia="zh-CN"/>
        </w:rPr>
      </w:pPr>
      <w:r>
        <w:rPr>
          <w:rFonts w:hint="eastAsia"/>
          <w:sz w:val="24"/>
          <w:szCs w:val="24"/>
          <w:highlight w:val="none"/>
          <w:lang w:eastAsia="zh-CN"/>
        </w:rPr>
        <w:t>国内外主要产品及技术指标如下表</w:t>
      </w:r>
      <w:r>
        <w:rPr>
          <w:rFonts w:hint="eastAsia"/>
          <w:sz w:val="24"/>
          <w:szCs w:val="24"/>
          <w:highlight w:val="none"/>
          <w:lang w:val="en-US" w:eastAsia="zh-CN"/>
        </w:rPr>
        <w:t>2：</w:t>
      </w:r>
    </w:p>
    <w:p w14:paraId="2A3E2AA0">
      <w:pPr>
        <w:jc w:val="center"/>
        <w:rPr>
          <w:rFonts w:hint="eastAsia" w:ascii="宋体" w:hAnsi="宋体" w:cs="宋体"/>
          <w:sz w:val="21"/>
          <w:szCs w:val="21"/>
          <w:lang w:eastAsia="zh-CN"/>
        </w:rPr>
      </w:pPr>
      <w:r>
        <w:rPr>
          <w:rFonts w:hint="eastAsia" w:ascii="宋体" w:hAnsi="宋体" w:cs="宋体"/>
          <w:sz w:val="21"/>
          <w:szCs w:val="21"/>
          <w:lang w:eastAsia="zh-CN"/>
        </w:rPr>
        <w:t>表</w:t>
      </w:r>
      <w:r>
        <w:rPr>
          <w:rFonts w:hint="eastAsia" w:ascii="宋体" w:hAnsi="宋体" w:cs="宋体"/>
          <w:sz w:val="21"/>
          <w:szCs w:val="21"/>
          <w:lang w:val="en-US" w:eastAsia="zh-CN"/>
        </w:rPr>
        <w:t>2</w:t>
      </w:r>
      <w:r>
        <w:rPr>
          <w:rFonts w:hint="eastAsia" w:ascii="宋体" w:hAnsi="宋体" w:cs="宋体"/>
          <w:sz w:val="21"/>
          <w:szCs w:val="21"/>
          <w:lang w:eastAsia="zh-CN"/>
        </w:rPr>
        <w:t xml:space="preserve"> 主要</w:t>
      </w:r>
      <w:r>
        <w:rPr>
          <w:rFonts w:hint="eastAsia" w:ascii="宋体" w:hAnsi="宋体" w:cs="宋体"/>
          <w:sz w:val="21"/>
          <w:szCs w:val="21"/>
          <w:lang w:val="en-US" w:eastAsia="zh-CN"/>
        </w:rPr>
        <w:t>矢量</w:t>
      </w:r>
      <w:r>
        <w:rPr>
          <w:rFonts w:hint="eastAsia" w:ascii="宋体" w:hAnsi="宋体" w:cs="宋体"/>
          <w:sz w:val="21"/>
          <w:szCs w:val="21"/>
          <w:lang w:eastAsia="zh-CN"/>
        </w:rPr>
        <w:t>磁场测量仪的技术指标</w:t>
      </w:r>
    </w:p>
    <w:tbl>
      <w:tblPr>
        <w:tblStyle w:val="6"/>
        <w:tblW w:w="8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2971"/>
        <w:gridCol w:w="2209"/>
        <w:gridCol w:w="2242"/>
      </w:tblGrid>
      <w:tr w14:paraId="74C7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74A4C5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型号</w:t>
            </w:r>
          </w:p>
        </w:tc>
        <w:tc>
          <w:tcPr>
            <w:tcW w:w="3074" w:type="dxa"/>
            <w:shd w:val="clear" w:color="auto" w:fill="auto"/>
            <w:noWrap w:val="0"/>
            <w:vAlign w:val="center"/>
          </w:tcPr>
          <w:p w14:paraId="7C8E15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生产厂家</w:t>
            </w:r>
          </w:p>
        </w:tc>
        <w:tc>
          <w:tcPr>
            <w:tcW w:w="2242" w:type="dxa"/>
            <w:shd w:val="clear" w:color="auto" w:fill="auto"/>
            <w:noWrap w:val="0"/>
            <w:vAlign w:val="center"/>
          </w:tcPr>
          <w:p w14:paraId="5CDEAA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highlight w:val="none"/>
                <w:lang w:eastAsia="zh-CN"/>
              </w:rPr>
            </w:pPr>
            <w:r>
              <w:rPr>
                <w:rFonts w:hint="eastAsia"/>
                <w:szCs w:val="21"/>
                <w:highlight w:val="none"/>
                <w:lang w:val="en-US" w:eastAsia="zh-CN"/>
              </w:rPr>
              <w:t>测量</w:t>
            </w:r>
            <w:r>
              <w:rPr>
                <w:rFonts w:hint="eastAsia"/>
                <w:szCs w:val="21"/>
                <w:highlight w:val="none"/>
                <w:lang w:eastAsia="zh-CN"/>
              </w:rPr>
              <w:t>范围</w:t>
            </w:r>
          </w:p>
        </w:tc>
        <w:tc>
          <w:tcPr>
            <w:tcW w:w="2304" w:type="dxa"/>
            <w:shd w:val="clear" w:color="auto" w:fill="auto"/>
            <w:noWrap w:val="0"/>
            <w:vAlign w:val="center"/>
          </w:tcPr>
          <w:p w14:paraId="35DE95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highlight w:val="none"/>
                <w:lang w:eastAsia="zh-CN"/>
              </w:rPr>
            </w:pPr>
            <w:r>
              <w:rPr>
                <w:rFonts w:hint="eastAsia"/>
                <w:szCs w:val="21"/>
                <w:highlight w:val="none"/>
                <w:lang w:val="en-US" w:eastAsia="zh-CN"/>
              </w:rPr>
              <w:t>正交度</w:t>
            </w:r>
          </w:p>
        </w:tc>
      </w:tr>
      <w:tr w14:paraId="2590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409865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highlight w:val="none"/>
                <w:lang w:val="en-US" w:eastAsia="zh-CN"/>
              </w:rPr>
            </w:pPr>
            <w:r>
              <w:rPr>
                <w:rFonts w:hint="eastAsia"/>
                <w:szCs w:val="21"/>
                <w:highlight w:val="none"/>
                <w:lang w:val="en-US" w:eastAsia="zh-CN"/>
              </w:rPr>
              <w:t>HSF-mag03</w:t>
            </w:r>
          </w:p>
        </w:tc>
        <w:tc>
          <w:tcPr>
            <w:tcW w:w="3074" w:type="dxa"/>
            <w:shd w:val="clear" w:color="auto" w:fill="auto"/>
            <w:noWrap w:val="0"/>
            <w:vAlign w:val="center"/>
          </w:tcPr>
          <w:p w14:paraId="04F8C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highlight w:val="none"/>
                <w:lang w:val="en-US" w:eastAsia="zh-CN"/>
              </w:rPr>
            </w:pPr>
            <w:r>
              <w:rPr>
                <w:rFonts w:hint="eastAsia"/>
                <w:szCs w:val="21"/>
                <w:highlight w:val="none"/>
                <w:lang w:val="en-US" w:eastAsia="zh-CN"/>
              </w:rPr>
              <w:t>西安华舜测量设备有限责任公司</w:t>
            </w:r>
          </w:p>
        </w:tc>
        <w:tc>
          <w:tcPr>
            <w:tcW w:w="2242" w:type="dxa"/>
            <w:shd w:val="clear" w:color="auto" w:fill="auto"/>
            <w:noWrap w:val="0"/>
            <w:vAlign w:val="center"/>
          </w:tcPr>
          <w:p w14:paraId="4FDE7B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±100μT</w:t>
            </w:r>
          </w:p>
        </w:tc>
        <w:tc>
          <w:tcPr>
            <w:tcW w:w="2304" w:type="dxa"/>
            <w:shd w:val="clear" w:color="auto" w:fill="auto"/>
            <w:noWrap w:val="0"/>
            <w:vAlign w:val="center"/>
          </w:tcPr>
          <w:p w14:paraId="20508E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≤0.1°</w:t>
            </w:r>
          </w:p>
        </w:tc>
      </w:tr>
      <w:tr w14:paraId="2DFD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171BF2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highlight w:val="none"/>
                <w:lang w:val="en-US" w:eastAsia="zh-CN"/>
              </w:rPr>
            </w:pPr>
            <w:r>
              <w:rPr>
                <w:rFonts w:hint="eastAsia"/>
                <w:szCs w:val="21"/>
                <w:highlight w:val="none"/>
                <w:lang w:val="en-US" w:eastAsia="zh-CN"/>
              </w:rPr>
              <w:t>Mag-13</w:t>
            </w:r>
          </w:p>
        </w:tc>
        <w:tc>
          <w:tcPr>
            <w:tcW w:w="3074" w:type="dxa"/>
            <w:shd w:val="clear" w:color="auto" w:fill="auto"/>
            <w:noWrap w:val="0"/>
            <w:vAlign w:val="center"/>
          </w:tcPr>
          <w:p w14:paraId="16E5AB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highlight w:val="none"/>
                <w:lang w:val="en-US" w:eastAsia="zh-CN"/>
              </w:rPr>
            </w:pPr>
            <w:r>
              <w:rPr>
                <w:rFonts w:hint="eastAsia"/>
                <w:szCs w:val="21"/>
                <w:highlight w:val="none"/>
                <w:lang w:val="en-US" w:eastAsia="zh-CN"/>
              </w:rPr>
              <w:t>巴廷顿</w:t>
            </w:r>
          </w:p>
        </w:tc>
        <w:tc>
          <w:tcPr>
            <w:tcW w:w="2242" w:type="dxa"/>
            <w:shd w:val="clear" w:color="auto" w:fill="auto"/>
            <w:noWrap w:val="0"/>
            <w:vAlign w:val="center"/>
          </w:tcPr>
          <w:p w14:paraId="50A620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highlight w:val="none"/>
                <w:lang w:val="en-US"/>
              </w:rPr>
            </w:pPr>
            <w:r>
              <w:rPr>
                <w:rFonts w:hint="eastAsia"/>
                <w:szCs w:val="21"/>
                <w:highlight w:val="none"/>
                <w:lang w:val="en-US" w:eastAsia="zh-CN"/>
              </w:rPr>
              <w:t>±70~±1000μT</w:t>
            </w:r>
          </w:p>
        </w:tc>
        <w:tc>
          <w:tcPr>
            <w:tcW w:w="2304" w:type="dxa"/>
            <w:shd w:val="clear" w:color="auto" w:fill="auto"/>
            <w:noWrap w:val="0"/>
            <w:vAlign w:val="center"/>
          </w:tcPr>
          <w:p w14:paraId="7828E2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lang w:val="en-US" w:eastAsia="zh-CN"/>
              </w:rPr>
              <w:t>≤0.1°</w:t>
            </w:r>
          </w:p>
        </w:tc>
      </w:tr>
    </w:tbl>
    <w:p w14:paraId="6684D8BA">
      <w:pPr>
        <w:spacing w:line="360" w:lineRule="auto"/>
        <w:ind w:firstLine="480" w:firstLineChars="200"/>
        <w:rPr>
          <w:rFonts w:hint="default"/>
          <w:sz w:val="24"/>
          <w:szCs w:val="24"/>
          <w:highlight w:val="none"/>
          <w:lang w:val="en-US" w:eastAsia="zh-CN"/>
        </w:rPr>
      </w:pPr>
      <w:r>
        <w:rPr>
          <w:rFonts w:hint="eastAsia"/>
          <w:sz w:val="24"/>
          <w:szCs w:val="24"/>
          <w:highlight w:val="none"/>
          <w:lang w:eastAsia="zh-CN"/>
        </w:rPr>
        <w:t>从上表可知，市面上主要的</w:t>
      </w:r>
      <w:r>
        <w:rPr>
          <w:rFonts w:hint="eastAsia"/>
          <w:sz w:val="24"/>
          <w:szCs w:val="24"/>
          <w:highlight w:val="none"/>
          <w:lang w:val="en-US" w:eastAsia="zh-CN"/>
        </w:rPr>
        <w:t>矢量</w:t>
      </w:r>
      <w:r>
        <w:rPr>
          <w:rFonts w:hint="eastAsia"/>
          <w:sz w:val="24"/>
          <w:szCs w:val="24"/>
          <w:highlight w:val="none"/>
          <w:lang w:eastAsia="zh-CN"/>
        </w:rPr>
        <w:t>磁场测量仪的计量特性主要是</w:t>
      </w:r>
      <w:r>
        <w:rPr>
          <w:rFonts w:hint="eastAsia"/>
          <w:sz w:val="24"/>
          <w:szCs w:val="24"/>
          <w:highlight w:val="none"/>
          <w:lang w:val="en-US" w:eastAsia="zh-CN"/>
        </w:rPr>
        <w:t>其测量范围内的磁场强度测量准确度和三轴正交性</w:t>
      </w:r>
      <w:r>
        <w:rPr>
          <w:rFonts w:hint="eastAsia"/>
          <w:sz w:val="24"/>
          <w:szCs w:val="24"/>
          <w:highlight w:val="none"/>
          <w:lang w:eastAsia="zh-CN"/>
        </w:rPr>
        <w:t>。本次制定的</w:t>
      </w:r>
      <w:r>
        <w:rPr>
          <w:rFonts w:hint="eastAsia"/>
          <w:sz w:val="24"/>
          <w:szCs w:val="24"/>
          <w:highlight w:val="none"/>
          <w:lang w:val="en-US" w:eastAsia="zh-CN"/>
        </w:rPr>
        <w:t>矢量</w:t>
      </w:r>
      <w:r>
        <w:rPr>
          <w:rFonts w:hint="eastAsia"/>
          <w:sz w:val="24"/>
          <w:szCs w:val="24"/>
          <w:highlight w:val="none"/>
          <w:lang w:eastAsia="zh-CN"/>
        </w:rPr>
        <w:t>磁场测量仪的计量特性的</w:t>
      </w:r>
      <w:r>
        <w:rPr>
          <w:rFonts w:hint="eastAsia"/>
          <w:sz w:val="24"/>
          <w:szCs w:val="24"/>
          <w:highlight w:val="none"/>
          <w:lang w:val="en-US" w:eastAsia="zh-CN"/>
        </w:rPr>
        <w:t>磁场</w:t>
      </w:r>
      <w:r>
        <w:rPr>
          <w:rFonts w:hint="eastAsia"/>
          <w:sz w:val="24"/>
          <w:szCs w:val="24"/>
          <w:highlight w:val="none"/>
          <w:lang w:eastAsia="zh-CN"/>
        </w:rPr>
        <w:t>范围为</w:t>
      </w:r>
      <w:r>
        <w:rPr>
          <w:rFonts w:hint="eastAsia"/>
          <w:sz w:val="24"/>
          <w:szCs w:val="24"/>
          <w:highlight w:val="none"/>
          <w:lang w:val="en-US" w:eastAsia="zh-CN"/>
        </w:rPr>
        <w:t>20μT~1000μT，正交度最大允许误差为1°。</w:t>
      </w:r>
    </w:p>
    <w:p w14:paraId="457503AB">
      <w:pPr>
        <w:pStyle w:val="2"/>
        <w:rPr>
          <w:rFonts w:hint="eastAsia"/>
          <w:lang w:eastAsia="zh-CN"/>
        </w:rPr>
      </w:pPr>
      <w:r>
        <w:rPr>
          <w:rFonts w:hint="eastAsia" w:ascii="Times New Roman" w:hAnsi="Times New Roman" w:eastAsia="宋体" w:cs="Times New Roman"/>
          <w:kern w:val="2"/>
          <w:sz w:val="24"/>
          <w:szCs w:val="24"/>
          <w:highlight w:val="none"/>
          <w:lang w:val="en-US" w:eastAsia="zh-CN" w:bidi="ar-SA"/>
        </w:rPr>
        <w:t>编写组针对基于椭球拟合方法的技术原理、操作流程、参数解算逻辑开展了系统性梳理，对比了不同实现路径的精度差异与适用场景，结合国内计量技术机构的实际校准能力，确定了椭球拟合校准方法的实施步骤。同时，编写组围绕该方法的误差来源、不确定度影响因素开展了分析，对现有产业应用中常见的操作不规范问题进行了明确，确保规范内容既符合计量技术要求，又贴合实际使用需求。在此基础上，编写组结合前期调研结果与多次内部讨论，反复打磨规范条款的文字表述，完成了规范正文与配套附录的编制工作，确保规范条款表述严谨准确，流程清晰可操作。</w:t>
      </w:r>
    </w:p>
    <w:p w14:paraId="480FA09A">
      <w:pPr>
        <w:spacing w:line="360" w:lineRule="auto"/>
        <w:rPr>
          <w:rFonts w:hint="eastAsia"/>
          <w:b/>
          <w:bCs/>
          <w:sz w:val="24"/>
          <w:szCs w:val="24"/>
          <w:highlight w:val="none"/>
          <w:lang w:eastAsia="zh-CN"/>
        </w:rPr>
      </w:pPr>
      <w:r>
        <w:rPr>
          <w:rFonts w:hint="eastAsia"/>
          <w:b/>
          <w:bCs/>
          <w:sz w:val="24"/>
          <w:szCs w:val="24"/>
          <w:highlight w:val="none"/>
          <w:lang w:val="en-US" w:eastAsia="zh-CN"/>
        </w:rPr>
        <w:t>2、</w:t>
      </w:r>
      <w:r>
        <w:rPr>
          <w:rFonts w:hint="eastAsia"/>
          <w:b/>
          <w:bCs/>
          <w:sz w:val="24"/>
          <w:szCs w:val="24"/>
          <w:highlight w:val="none"/>
          <w:lang w:eastAsia="zh-CN"/>
        </w:rPr>
        <w:t>验证情况</w:t>
      </w:r>
    </w:p>
    <w:p w14:paraId="020BCEE6">
      <w:pPr>
        <w:spacing w:line="360" w:lineRule="auto"/>
        <w:ind w:firstLine="480" w:firstLineChars="200"/>
        <w:rPr>
          <w:rFonts w:hint="eastAsia"/>
          <w:sz w:val="24"/>
          <w:szCs w:val="24"/>
          <w:highlight w:val="none"/>
          <w:lang w:eastAsia="zh-CN"/>
        </w:rPr>
      </w:pPr>
    </w:p>
    <w:p w14:paraId="3C2E8CD5">
      <w:pPr>
        <w:spacing w:line="360" w:lineRule="auto"/>
        <w:ind w:firstLine="480" w:firstLineChars="200"/>
        <w:rPr>
          <w:rFonts w:hint="eastAsia"/>
          <w:sz w:val="24"/>
          <w:szCs w:val="24"/>
          <w:highlight w:val="none"/>
          <w:lang w:eastAsia="zh-CN"/>
        </w:rPr>
      </w:pPr>
      <w:r>
        <w:rPr>
          <w:rFonts w:hint="eastAsia"/>
          <w:sz w:val="24"/>
          <w:szCs w:val="24"/>
          <w:highlight w:val="none"/>
          <w:lang w:eastAsia="zh-CN"/>
        </w:rPr>
        <w:t>为验证本规范中所规定的校准项目和校准方法的正确性和可行性，编写组选择</w:t>
      </w:r>
      <w:r>
        <w:rPr>
          <w:rFonts w:hint="eastAsia"/>
          <w:sz w:val="24"/>
          <w:szCs w:val="24"/>
          <w:highlight w:val="none"/>
          <w:lang w:val="en-US" w:eastAsia="zh-CN"/>
        </w:rPr>
        <w:t>巴廷顿公司的Mag-13三轴磁通门磁强计</w:t>
      </w:r>
      <w:r>
        <w:rPr>
          <w:rFonts w:hint="eastAsia"/>
          <w:sz w:val="24"/>
          <w:szCs w:val="24"/>
          <w:highlight w:val="none"/>
          <w:lang w:eastAsia="zh-CN"/>
        </w:rPr>
        <w:t>为试验对象，对规范包含的全部校准项目进行了验证，并编制了试验报告。验证试验结果表明，规范规定的校准项目和技术要求合理，校准方法正确，实际操作性强，校准数据准确，校准规范可行。</w:t>
      </w:r>
    </w:p>
    <w:p w14:paraId="651E5984">
      <w:pPr>
        <w:spacing w:line="360" w:lineRule="auto"/>
        <w:rPr>
          <w:rFonts w:hint="eastAsia" w:ascii="宋体" w:hAnsi="宋体"/>
          <w:b/>
          <w:bCs w:val="0"/>
          <w:sz w:val="28"/>
          <w:szCs w:val="28"/>
          <w:highlight w:val="none"/>
        </w:rPr>
      </w:pPr>
      <w:r>
        <w:rPr>
          <w:rFonts w:hint="eastAsia" w:ascii="宋体" w:hAnsi="宋体"/>
          <w:b/>
          <w:bCs w:val="0"/>
          <w:sz w:val="28"/>
          <w:szCs w:val="28"/>
          <w:highlight w:val="none"/>
          <w:lang w:eastAsia="zh-CN"/>
        </w:rPr>
        <w:t>六、</w:t>
      </w:r>
      <w:r>
        <w:rPr>
          <w:rFonts w:hint="eastAsia" w:ascii="宋体" w:hAnsi="宋体"/>
          <w:b/>
          <w:bCs w:val="0"/>
          <w:sz w:val="28"/>
          <w:szCs w:val="28"/>
          <w:highlight w:val="none"/>
        </w:rPr>
        <w:t>参考资料</w:t>
      </w:r>
    </w:p>
    <w:p w14:paraId="3EF120B8">
      <w:pPr>
        <w:spacing w:line="360" w:lineRule="auto"/>
        <w:ind w:firstLine="480" w:firstLineChars="200"/>
        <w:rPr>
          <w:rFonts w:hint="eastAsia"/>
          <w:sz w:val="24"/>
          <w:szCs w:val="24"/>
          <w:highlight w:val="none"/>
          <w:lang w:eastAsia="zh-CN"/>
        </w:rPr>
      </w:pPr>
      <w:r>
        <w:rPr>
          <w:rFonts w:hint="eastAsia"/>
          <w:sz w:val="24"/>
          <w:szCs w:val="24"/>
          <w:highlight w:val="none"/>
          <w:lang w:eastAsia="zh-CN"/>
        </w:rPr>
        <w:t>JJF 1071 国家计量校准规范编写规则</w:t>
      </w:r>
    </w:p>
    <w:p w14:paraId="46DFBAF1">
      <w:pPr>
        <w:spacing w:line="360" w:lineRule="auto"/>
        <w:ind w:firstLine="480" w:firstLineChars="200"/>
        <w:rPr>
          <w:rFonts w:hint="eastAsia"/>
          <w:sz w:val="24"/>
          <w:szCs w:val="24"/>
          <w:highlight w:val="none"/>
          <w:lang w:eastAsia="zh-CN"/>
        </w:rPr>
      </w:pPr>
      <w:r>
        <w:rPr>
          <w:rFonts w:hint="eastAsia"/>
          <w:sz w:val="24"/>
          <w:szCs w:val="24"/>
          <w:highlight w:val="none"/>
          <w:lang w:eastAsia="zh-CN"/>
        </w:rPr>
        <w:t>JJF 1059.1 不确定度评定与表示</w:t>
      </w:r>
    </w:p>
    <w:p w14:paraId="4D86BDE1">
      <w:pPr>
        <w:spacing w:line="360" w:lineRule="auto"/>
        <w:ind w:firstLine="480" w:firstLineChars="200"/>
      </w:pPr>
      <w:r>
        <w:rPr>
          <w:rFonts w:hint="eastAsia"/>
          <w:sz w:val="24"/>
          <w:szCs w:val="24"/>
          <w:highlight w:val="none"/>
          <w:lang w:eastAsia="zh-CN"/>
        </w:rPr>
        <w:t>JJF 1001通用计量术语及定义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B6A8E"/>
    <w:multiLevelType w:val="multilevel"/>
    <w:tmpl w:val="08DB6A8E"/>
    <w:lvl w:ilvl="0" w:tentative="0">
      <w:start w:val="1"/>
      <w:numFmt w:val="japaneseCounting"/>
      <w:pStyle w:val="3"/>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65C1E32"/>
    <w:multiLevelType w:val="multilevel"/>
    <w:tmpl w:val="665C1E32"/>
    <w:lvl w:ilvl="0" w:tentative="0">
      <w:start w:val="1"/>
      <w:numFmt w:val="lowerLetter"/>
      <w:lvlText w:val="%1)"/>
      <w:lvlJc w:val="left"/>
      <w:pPr>
        <w:tabs>
          <w:tab w:val="left" w:pos="920"/>
        </w:tabs>
        <w:ind w:left="920" w:hanging="360"/>
      </w:pPr>
      <w:rPr>
        <w:rFonts w:ascii="Times New Roman" w:hAnsi="Times New Roman" w:eastAsia="宋体" w:cs="Times New Roman"/>
      </w:rPr>
    </w:lvl>
    <w:lvl w:ilvl="1" w:tentative="0">
      <w:start w:val="1"/>
      <w:numFmt w:val="lowerLetter"/>
      <w:lvlText w:val="%2)"/>
      <w:lvlJc w:val="left"/>
      <w:pPr>
        <w:tabs>
          <w:tab w:val="left" w:pos="1370"/>
        </w:tabs>
        <w:ind w:left="1370" w:hanging="390"/>
      </w:pPr>
      <w:rPr>
        <w:rFonts w:hint="default"/>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zY2U0OGE2NzZiMDQ2NjgzOWJjZGViOTY0OTIwMjgifQ=="/>
  </w:docVars>
  <w:rsids>
    <w:rsidRoot w:val="00000000"/>
    <w:rsid w:val="003D21B2"/>
    <w:rsid w:val="013B4910"/>
    <w:rsid w:val="02A8425B"/>
    <w:rsid w:val="03A367D0"/>
    <w:rsid w:val="03B94246"/>
    <w:rsid w:val="046349BF"/>
    <w:rsid w:val="048C3708"/>
    <w:rsid w:val="04D07A99"/>
    <w:rsid w:val="054364BD"/>
    <w:rsid w:val="05790131"/>
    <w:rsid w:val="05D114F6"/>
    <w:rsid w:val="064B1FDC"/>
    <w:rsid w:val="06F85085"/>
    <w:rsid w:val="07660241"/>
    <w:rsid w:val="07C531B9"/>
    <w:rsid w:val="08183C31"/>
    <w:rsid w:val="086D65D3"/>
    <w:rsid w:val="09D467AF"/>
    <w:rsid w:val="0A382368"/>
    <w:rsid w:val="0AB539B9"/>
    <w:rsid w:val="0AB66B7A"/>
    <w:rsid w:val="0AFD710E"/>
    <w:rsid w:val="0B301291"/>
    <w:rsid w:val="0CF602B9"/>
    <w:rsid w:val="0D7A7C20"/>
    <w:rsid w:val="0E166300"/>
    <w:rsid w:val="0E8F62CF"/>
    <w:rsid w:val="0F670FFA"/>
    <w:rsid w:val="11131439"/>
    <w:rsid w:val="11C95F9C"/>
    <w:rsid w:val="11DB182B"/>
    <w:rsid w:val="121C7886"/>
    <w:rsid w:val="12D270D2"/>
    <w:rsid w:val="12F9465F"/>
    <w:rsid w:val="136A10B9"/>
    <w:rsid w:val="137C7DF6"/>
    <w:rsid w:val="14213E6D"/>
    <w:rsid w:val="14F90946"/>
    <w:rsid w:val="16557DFE"/>
    <w:rsid w:val="165C73DE"/>
    <w:rsid w:val="189F7A56"/>
    <w:rsid w:val="18FE477D"/>
    <w:rsid w:val="194D74B2"/>
    <w:rsid w:val="19FB0CBC"/>
    <w:rsid w:val="1A2F6BB8"/>
    <w:rsid w:val="1AD5775F"/>
    <w:rsid w:val="1B1A33C4"/>
    <w:rsid w:val="1B9E5DA3"/>
    <w:rsid w:val="1BA37CB2"/>
    <w:rsid w:val="1BC670A8"/>
    <w:rsid w:val="1C856F63"/>
    <w:rsid w:val="1D063C00"/>
    <w:rsid w:val="1D7C0366"/>
    <w:rsid w:val="1DEC729A"/>
    <w:rsid w:val="1E3B1FCF"/>
    <w:rsid w:val="1E3D18A3"/>
    <w:rsid w:val="1E71779F"/>
    <w:rsid w:val="1EC43D73"/>
    <w:rsid w:val="1F10520A"/>
    <w:rsid w:val="1F4301DD"/>
    <w:rsid w:val="1FDE2C12"/>
    <w:rsid w:val="219537A4"/>
    <w:rsid w:val="21F04E7F"/>
    <w:rsid w:val="22121299"/>
    <w:rsid w:val="22715FC0"/>
    <w:rsid w:val="227C4964"/>
    <w:rsid w:val="22963C78"/>
    <w:rsid w:val="23AA1B0B"/>
    <w:rsid w:val="23CA0447"/>
    <w:rsid w:val="23ED78C8"/>
    <w:rsid w:val="24311EAA"/>
    <w:rsid w:val="247E1076"/>
    <w:rsid w:val="249661B1"/>
    <w:rsid w:val="253634F0"/>
    <w:rsid w:val="255676EF"/>
    <w:rsid w:val="26127ABA"/>
    <w:rsid w:val="26390A95"/>
    <w:rsid w:val="26D42FC1"/>
    <w:rsid w:val="27003DB6"/>
    <w:rsid w:val="27075144"/>
    <w:rsid w:val="27C31D41"/>
    <w:rsid w:val="28924EE2"/>
    <w:rsid w:val="2944442E"/>
    <w:rsid w:val="2A994398"/>
    <w:rsid w:val="2AE31A25"/>
    <w:rsid w:val="2B5E10AB"/>
    <w:rsid w:val="2BC730F4"/>
    <w:rsid w:val="2C5A1872"/>
    <w:rsid w:val="2D984D48"/>
    <w:rsid w:val="2DF91EDD"/>
    <w:rsid w:val="2E137822"/>
    <w:rsid w:val="2E5A0250"/>
    <w:rsid w:val="2E6B420B"/>
    <w:rsid w:val="2EBB5196"/>
    <w:rsid w:val="2F4A2072"/>
    <w:rsid w:val="306A22A0"/>
    <w:rsid w:val="30AF1A48"/>
    <w:rsid w:val="30C96FC7"/>
    <w:rsid w:val="311916B0"/>
    <w:rsid w:val="311F752F"/>
    <w:rsid w:val="31342FDA"/>
    <w:rsid w:val="31413001"/>
    <w:rsid w:val="31D2634F"/>
    <w:rsid w:val="326965BA"/>
    <w:rsid w:val="32696CB3"/>
    <w:rsid w:val="32B51EF8"/>
    <w:rsid w:val="336710D6"/>
    <w:rsid w:val="336E20A7"/>
    <w:rsid w:val="33D17FB8"/>
    <w:rsid w:val="33D95773"/>
    <w:rsid w:val="34C10120"/>
    <w:rsid w:val="34F32864"/>
    <w:rsid w:val="3511718E"/>
    <w:rsid w:val="351F3659"/>
    <w:rsid w:val="35A3428A"/>
    <w:rsid w:val="35F745D6"/>
    <w:rsid w:val="36B44275"/>
    <w:rsid w:val="36D60AFB"/>
    <w:rsid w:val="37887BDC"/>
    <w:rsid w:val="37931D11"/>
    <w:rsid w:val="379876F3"/>
    <w:rsid w:val="387B504A"/>
    <w:rsid w:val="38934A8A"/>
    <w:rsid w:val="38A547BD"/>
    <w:rsid w:val="38B151D6"/>
    <w:rsid w:val="395B4E7C"/>
    <w:rsid w:val="39DC420F"/>
    <w:rsid w:val="39F33306"/>
    <w:rsid w:val="3A080B60"/>
    <w:rsid w:val="3AC70A1B"/>
    <w:rsid w:val="3AE570F3"/>
    <w:rsid w:val="3B5F50F7"/>
    <w:rsid w:val="3B854432"/>
    <w:rsid w:val="3BAC7C11"/>
    <w:rsid w:val="3C700C3E"/>
    <w:rsid w:val="3E630A5B"/>
    <w:rsid w:val="3E686071"/>
    <w:rsid w:val="3EE15E23"/>
    <w:rsid w:val="3F310DEF"/>
    <w:rsid w:val="40786313"/>
    <w:rsid w:val="40C854ED"/>
    <w:rsid w:val="40DC2D46"/>
    <w:rsid w:val="40EA7211"/>
    <w:rsid w:val="4230334A"/>
    <w:rsid w:val="42380450"/>
    <w:rsid w:val="42707BEA"/>
    <w:rsid w:val="42F27E38"/>
    <w:rsid w:val="435B43F6"/>
    <w:rsid w:val="4391606A"/>
    <w:rsid w:val="43AC4C52"/>
    <w:rsid w:val="43DD1CAD"/>
    <w:rsid w:val="44650D7A"/>
    <w:rsid w:val="4541761C"/>
    <w:rsid w:val="45DE4E6B"/>
    <w:rsid w:val="462907DC"/>
    <w:rsid w:val="463C0CB3"/>
    <w:rsid w:val="464A2500"/>
    <w:rsid w:val="46843C64"/>
    <w:rsid w:val="47523D62"/>
    <w:rsid w:val="481B23A6"/>
    <w:rsid w:val="49817A41"/>
    <w:rsid w:val="4A2117CA"/>
    <w:rsid w:val="4A6F09C8"/>
    <w:rsid w:val="4A897A9B"/>
    <w:rsid w:val="4A9B5A20"/>
    <w:rsid w:val="4D920F74"/>
    <w:rsid w:val="4DD92AE7"/>
    <w:rsid w:val="4E08517B"/>
    <w:rsid w:val="4E265601"/>
    <w:rsid w:val="4E6F3350"/>
    <w:rsid w:val="4EEF27B9"/>
    <w:rsid w:val="4FAC7D88"/>
    <w:rsid w:val="4FCB386C"/>
    <w:rsid w:val="50591CBD"/>
    <w:rsid w:val="507B1B2D"/>
    <w:rsid w:val="50E772C9"/>
    <w:rsid w:val="513E0EB3"/>
    <w:rsid w:val="51890380"/>
    <w:rsid w:val="536976DE"/>
    <w:rsid w:val="541008E5"/>
    <w:rsid w:val="54D933CD"/>
    <w:rsid w:val="557657F6"/>
    <w:rsid w:val="55821CB6"/>
    <w:rsid w:val="56252A02"/>
    <w:rsid w:val="568E6439"/>
    <w:rsid w:val="56D93B58"/>
    <w:rsid w:val="571921A6"/>
    <w:rsid w:val="574D1ABF"/>
    <w:rsid w:val="57981DED"/>
    <w:rsid w:val="57AF2B0B"/>
    <w:rsid w:val="58A75590"/>
    <w:rsid w:val="58E04ED5"/>
    <w:rsid w:val="59050C34"/>
    <w:rsid w:val="5A236E98"/>
    <w:rsid w:val="5A4E780A"/>
    <w:rsid w:val="5AF26F96"/>
    <w:rsid w:val="5B2630E4"/>
    <w:rsid w:val="5B9B13DC"/>
    <w:rsid w:val="5C981DBF"/>
    <w:rsid w:val="5CD03307"/>
    <w:rsid w:val="5CD820A6"/>
    <w:rsid w:val="5D047455"/>
    <w:rsid w:val="5D437F7D"/>
    <w:rsid w:val="5D551A5E"/>
    <w:rsid w:val="5D881E34"/>
    <w:rsid w:val="5DE03A1E"/>
    <w:rsid w:val="5DF43025"/>
    <w:rsid w:val="5E0A2849"/>
    <w:rsid w:val="5E4C4C10"/>
    <w:rsid w:val="5EE035AA"/>
    <w:rsid w:val="5F697A43"/>
    <w:rsid w:val="5F812FDF"/>
    <w:rsid w:val="5FCA6734"/>
    <w:rsid w:val="61412A26"/>
    <w:rsid w:val="62CA07F9"/>
    <w:rsid w:val="631D6B7A"/>
    <w:rsid w:val="6384309D"/>
    <w:rsid w:val="63C35974"/>
    <w:rsid w:val="64983F98"/>
    <w:rsid w:val="64A55079"/>
    <w:rsid w:val="64B74DAD"/>
    <w:rsid w:val="64D21BE7"/>
    <w:rsid w:val="654A79CF"/>
    <w:rsid w:val="65F067C8"/>
    <w:rsid w:val="67184229"/>
    <w:rsid w:val="67DC3E47"/>
    <w:rsid w:val="67DF4D46"/>
    <w:rsid w:val="68B24209"/>
    <w:rsid w:val="69717C20"/>
    <w:rsid w:val="6A413A96"/>
    <w:rsid w:val="6A4470E3"/>
    <w:rsid w:val="6AC67AF8"/>
    <w:rsid w:val="6AD20B92"/>
    <w:rsid w:val="6AE663EC"/>
    <w:rsid w:val="6B737C7F"/>
    <w:rsid w:val="6BAF2C82"/>
    <w:rsid w:val="6C9205D9"/>
    <w:rsid w:val="6DA06D26"/>
    <w:rsid w:val="6DC01BCB"/>
    <w:rsid w:val="6DE05374"/>
    <w:rsid w:val="6DE616AF"/>
    <w:rsid w:val="6E3B6A4F"/>
    <w:rsid w:val="6EB505AF"/>
    <w:rsid w:val="6F537761"/>
    <w:rsid w:val="6F6B5112"/>
    <w:rsid w:val="6FDB2297"/>
    <w:rsid w:val="70553DF8"/>
    <w:rsid w:val="70567B70"/>
    <w:rsid w:val="71015D2D"/>
    <w:rsid w:val="711517D9"/>
    <w:rsid w:val="71551BD5"/>
    <w:rsid w:val="71866233"/>
    <w:rsid w:val="71985233"/>
    <w:rsid w:val="72676F13"/>
    <w:rsid w:val="734F0FD2"/>
    <w:rsid w:val="73612AB3"/>
    <w:rsid w:val="74213FF1"/>
    <w:rsid w:val="74604B19"/>
    <w:rsid w:val="75DC0B17"/>
    <w:rsid w:val="76CA4E14"/>
    <w:rsid w:val="76EC6B38"/>
    <w:rsid w:val="76FD1D23"/>
    <w:rsid w:val="773A0A2A"/>
    <w:rsid w:val="78000AED"/>
    <w:rsid w:val="789254BD"/>
    <w:rsid w:val="791800B8"/>
    <w:rsid w:val="794744F9"/>
    <w:rsid w:val="799D05BD"/>
    <w:rsid w:val="7A61783D"/>
    <w:rsid w:val="7A7C01D3"/>
    <w:rsid w:val="7AC758F2"/>
    <w:rsid w:val="7AC8695B"/>
    <w:rsid w:val="7C771E5F"/>
    <w:rsid w:val="7CCF4F32"/>
    <w:rsid w:val="7D172435"/>
    <w:rsid w:val="7D43322A"/>
    <w:rsid w:val="7D7653AD"/>
    <w:rsid w:val="7DE14F1D"/>
    <w:rsid w:val="7DE762AB"/>
    <w:rsid w:val="7E1E7F1F"/>
    <w:rsid w:val="7EA61CC2"/>
    <w:rsid w:val="7EBB39C0"/>
    <w:rsid w:val="7FA02BB5"/>
    <w:rsid w:val="7FCF6FF7"/>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numPr>
        <w:ilvl w:val="0"/>
        <w:numId w:val="1"/>
      </w:numPr>
      <w:adjustRightInd w:val="0"/>
      <w:snapToGrid w:val="0"/>
      <w:spacing w:line="360" w:lineRule="auto"/>
      <w:outlineLvl w:val="0"/>
    </w:pPr>
    <w:rPr>
      <w:rFonts w:ascii="黑体" w:hAnsi="宋体" w:eastAsia="黑体"/>
      <w:b/>
      <w:sz w:val="28"/>
      <w:szCs w:val="28"/>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5">
    <w:name w:val="annotation text"/>
    <w:basedOn w:val="1"/>
    <w:qFormat/>
    <w:uiPriority w:val="0"/>
    <w:pPr>
      <w:jc w:val="left"/>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character" w:customStyle="1" w:styleId="10">
    <w:name w:val="四号黑体加粗"/>
    <w:qFormat/>
    <w:uiPriority w:val="1"/>
    <w:rPr>
      <w:rFonts w:eastAsia="黑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823</Words>
  <Characters>841</Characters>
  <Lines>0</Lines>
  <Paragraphs>0</Paragraphs>
  <TotalTime>36</TotalTime>
  <ScaleCrop>false</ScaleCrop>
  <LinksUpToDate>false</LinksUpToDate>
  <CharactersWithSpaces>843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2022-11-23T01:19:00Z</dcterms:created>
  <dc:creator>Administrator</dc:creator>
  <cp:lastModifiedBy>黄未</cp:lastModifiedBy>
  <dcterms:modified xsi:type="dcterms:W3CDTF">2026-07-23T09:21:32Z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11442C5D600C49138984F4C5D3442962_13</vt:lpwstr>
  </property>
  <property fmtid="{D5CDD505-2E9C-101B-9397-08002B2CF9AE}" pid="4" name="KSOTemplateDocerSaveRecord">
    <vt:lpwstr>eyJoZGlkIjoiNDRiZWQ5NzlkMjE3Nzk2ODY5Mjk4OTE1NGIyMGUwZTIiLCJ1c2VySWQiOiIxMTUwNjMxMDcwIn0=</vt:lpwstr>
  </property>
</Properties>
</file>